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82EC" w14:textId="410B4372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i/>
          <w:szCs w:val="36"/>
          <w:lang w:val="en-US" w:eastAsia="ja-JP"/>
        </w:rPr>
      </w:pPr>
      <w:bookmarkStart w:id="0" w:name="_Hlk91681971"/>
      <w:r w:rsidRPr="00D545B2">
        <w:rPr>
          <w:rFonts w:ascii="Arial" w:eastAsia="Malgun Gothic" w:hAnsi="Arial" w:cs="Arial"/>
          <w:b/>
          <w:bCs/>
          <w:szCs w:val="36"/>
          <w:lang w:val="en-US"/>
        </w:rPr>
        <w:t>3GPP TSG RAN WG1 #120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ab/>
        <w:t xml:space="preserve">                         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ＭＳ 明朝" w:hAnsi="Arial" w:cs="Arial" w:hint="eastAsia"/>
          <w:b/>
          <w:bCs/>
          <w:szCs w:val="36"/>
          <w:lang w:val="en-US"/>
        </w:rPr>
        <w:t xml:space="preserve">     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 xml:space="preserve">   </w:t>
      </w:r>
      <w:r>
        <w:rPr>
          <w:rFonts w:ascii="Arial" w:eastAsia="ＭＳ 明朝" w:hAnsi="Arial" w:cs="Arial" w:hint="eastAsia"/>
          <w:b/>
          <w:bCs/>
          <w:szCs w:val="36"/>
          <w:lang w:val="en-US"/>
        </w:rPr>
        <w:t xml:space="preserve">  </w:t>
      </w:r>
      <w:r>
        <w:rPr>
          <w:rFonts w:ascii="Arial" w:eastAsia="ＭＳ 明朝" w:hAnsi="Arial" w:cs="Arial" w:hint="eastAsia"/>
          <w:b/>
          <w:bCs/>
          <w:szCs w:val="36"/>
          <w:lang w:val="en-US" w:eastAsia="ja-JP"/>
        </w:rPr>
        <w:t xml:space="preserve">  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>R1-25</w:t>
      </w:r>
      <w:r w:rsidRPr="00D545B2">
        <w:rPr>
          <w:rFonts w:ascii="Arial" w:eastAsia="Malgun Gothic" w:hAnsi="Arial" w:cs="Arial" w:hint="eastAsia"/>
          <w:b/>
          <w:bCs/>
          <w:szCs w:val="36"/>
          <w:lang w:val="en-US"/>
        </w:rPr>
        <w:t>0138</w:t>
      </w:r>
      <w:r>
        <w:rPr>
          <w:rFonts w:ascii="Arial" w:eastAsia="ＭＳ 明朝" w:hAnsi="Arial" w:cs="Arial" w:hint="eastAsia"/>
          <w:b/>
          <w:bCs/>
          <w:szCs w:val="36"/>
          <w:lang w:val="en-US" w:eastAsia="ja-JP"/>
        </w:rPr>
        <w:t>9</w:t>
      </w:r>
    </w:p>
    <w:p w14:paraId="5DD89563" w14:textId="77777777" w:rsidR="00E35C0C" w:rsidRPr="00D545B2" w:rsidRDefault="00E35C0C" w:rsidP="00E35C0C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  <w:lang w:val="en-US"/>
        </w:rPr>
      </w:pPr>
      <w:r w:rsidRPr="00D545B2">
        <w:rPr>
          <w:rFonts w:ascii="Arial" w:eastAsia="Malgun Gothic" w:hAnsi="Arial" w:cs="Arial"/>
          <w:b/>
          <w:bCs/>
          <w:szCs w:val="36"/>
          <w:lang w:val="en-US"/>
        </w:rPr>
        <w:t>Athens, Greece, February 17</w:t>
      </w:r>
      <w:r w:rsidRPr="00D545B2">
        <w:rPr>
          <w:rFonts w:ascii="Arial" w:eastAsia="Malgun Gothic" w:hAnsi="Arial" w:cs="Arial" w:hint="eastAsia"/>
          <w:b/>
          <w:bCs/>
          <w:szCs w:val="36"/>
          <w:vertAlign w:val="superscript"/>
          <w:lang w:val="en-US"/>
        </w:rPr>
        <w:t>th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 – 21</w:t>
      </w:r>
      <w:r w:rsidRPr="00D545B2">
        <w:rPr>
          <w:rFonts w:ascii="Arial" w:eastAsia="Malgun Gothic" w:hAnsi="Arial" w:cs="Arial"/>
          <w:b/>
          <w:bCs/>
          <w:szCs w:val="36"/>
          <w:vertAlign w:val="superscript"/>
          <w:lang w:val="en-US"/>
        </w:rPr>
        <w:t>st</w:t>
      </w:r>
      <w:r w:rsidRPr="00D545B2">
        <w:rPr>
          <w:rFonts w:ascii="Arial" w:eastAsia="Malgun Gothic" w:hAnsi="Arial" w:cs="Arial"/>
          <w:b/>
          <w:bCs/>
          <w:szCs w:val="36"/>
          <w:lang w:val="en-US"/>
        </w:rPr>
        <w:t xml:space="preserve">, 2025 </w:t>
      </w:r>
      <w:bookmarkEnd w:id="0"/>
    </w:p>
    <w:p w14:paraId="56A8D5BE" w14:textId="77777777" w:rsidR="002E51C3" w:rsidRPr="00E35C0C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634391C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ＭＳ 明朝" w:hAnsi="Arial" w:cs="Arial"/>
          <w:bCs/>
          <w:lang w:eastAsia="ja-JP"/>
        </w:rPr>
        <w:t>NR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</w:t>
      </w:r>
      <w:r w:rsidR="00E35C0C">
        <w:rPr>
          <w:rFonts w:ascii="Arial" w:eastAsia="ＭＳ 明朝" w:hAnsi="Arial" w:cs="Arial" w:hint="eastAsia"/>
          <w:bCs/>
          <w:lang w:eastAsia="ja-JP"/>
        </w:rPr>
        <w:t>20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1A516FE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6F0FD4">
        <w:rPr>
          <w:rFonts w:cs="Arial"/>
          <w:b w:val="0"/>
          <w:bCs/>
          <w:lang w:val="it-IT"/>
        </w:rPr>
        <w:t>Hiroki Harada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7A323B11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6F0FD4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14E3700E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A13E36" w:rsidRPr="00A13E36">
        <w:rPr>
          <w:rFonts w:ascii="Arial" w:hAnsi="Arial" w:cs="Arial"/>
          <w:lang w:val="pt-BR"/>
        </w:rPr>
        <w:t>R1-2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A13E36" w:rsidRPr="00A13E36">
        <w:rPr>
          <w:rFonts w:ascii="Arial" w:hAnsi="Arial" w:cs="Arial"/>
          <w:bCs/>
        </w:rPr>
        <w:t>Updated RAN1 UE features list for Rel-18 NR after RAN1#1</w:t>
      </w:r>
      <w:r w:rsidR="00E35C0C">
        <w:rPr>
          <w:rFonts w:ascii="Arial" w:eastAsiaTheme="minorEastAsia" w:hAnsi="Arial" w:cs="Arial" w:hint="eastAsia"/>
          <w:bCs/>
          <w:lang w:eastAsia="ja-JP"/>
        </w:rPr>
        <w:t>20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18F13578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2B1B02" w:rsidRPr="002B1B02">
        <w:rPr>
          <w:rFonts w:ascii="Arial" w:hAnsi="Arial" w:cs="Arial"/>
          <w:lang w:val="pt-BR"/>
        </w:rPr>
        <w:t>R1-</w:t>
      </w:r>
      <w:r w:rsidR="000D170A" w:rsidRPr="000D170A">
        <w:rPr>
          <w:rFonts w:ascii="Arial" w:hAnsi="Arial" w:cs="Arial"/>
          <w:lang w:val="pt-BR"/>
        </w:rPr>
        <w:t>2</w:t>
      </w:r>
      <w:r w:rsidR="00E35C0C">
        <w:rPr>
          <w:rFonts w:ascii="Arial" w:eastAsiaTheme="minorEastAsia" w:hAnsi="Arial" w:cs="Arial" w:hint="eastAsia"/>
          <w:lang w:val="pt-BR" w:eastAsia="ja-JP"/>
        </w:rPr>
        <w:t>501388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77491DFE" w14:textId="5F128D02" w:rsidR="00D23903" w:rsidRDefault="00D23903" w:rsidP="00D23903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</w:t>
      </w:r>
      <w:r w:rsidR="00E35C0C">
        <w:rPr>
          <w:rFonts w:ascii="Arial" w:eastAsia="游明朝" w:hAnsi="Arial" w:cs="Arial" w:hint="eastAsia"/>
          <w:bCs/>
          <w:iCs/>
          <w:lang w:val="en-US" w:eastAsia="ja-JP"/>
        </w:rPr>
        <w:t>500010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R2-24</w:t>
      </w:r>
      <w:r w:rsidR="00E35C0C">
        <w:rPr>
          <w:rFonts w:ascii="Arial" w:eastAsia="游明朝" w:hAnsi="Arial" w:cs="Arial" w:hint="eastAsia"/>
          <w:bCs/>
          <w:iCs/>
          <w:lang w:eastAsia="ja-JP"/>
        </w:rPr>
        <w:t>11219</w:t>
      </w:r>
      <w:r>
        <w:rPr>
          <w:rFonts w:ascii="Arial" w:eastAsia="游明朝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 xml:space="preserve">RAN1 </w:t>
      </w:r>
      <w:r w:rsidR="00E35C0C">
        <w:rPr>
          <w:rFonts w:ascii="Arial" w:eastAsia="游明朝" w:hAnsi="Arial" w:cs="Arial" w:hint="eastAsia"/>
          <w:bCs/>
          <w:iCs/>
          <w:lang w:eastAsia="ja-JP"/>
        </w:rPr>
        <w:t>agreement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0679" w14:paraId="00EA8A46" w14:textId="77777777" w:rsidTr="000A61D5">
        <w:tc>
          <w:tcPr>
            <w:tcW w:w="9855" w:type="dxa"/>
          </w:tcPr>
          <w:p w14:paraId="7392A92E" w14:textId="77777777" w:rsidR="00E35C0C" w:rsidRPr="009A394F" w:rsidRDefault="00E35C0C" w:rsidP="00E35C0C">
            <w:pPr>
              <w:rPr>
                <w:rFonts w:ascii="Times" w:eastAsia="游明朝" w:hAnsi="Times"/>
                <w:b/>
                <w:bCs/>
                <w:szCs w:val="24"/>
                <w:highlight w:val="green"/>
                <w:lang w:eastAsia="ja-JP"/>
              </w:rPr>
            </w:pPr>
            <w:r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5C71450B" w14:textId="77777777" w:rsidR="00E35C0C" w:rsidRPr="009B55FF" w:rsidRDefault="00E35C0C" w:rsidP="00E35C0C">
            <w:pPr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 w:hint="eastAsia"/>
                <w:szCs w:val="24"/>
                <w:lang w:eastAsia="ja-JP"/>
              </w:rPr>
              <w:t>Reply to RAN2 that following per-band capabilities refer to the source band</w:t>
            </w:r>
            <w:r w:rsidRPr="009B55FF">
              <w:rPr>
                <w:rFonts w:ascii="Times" w:eastAsia="游明朝" w:hAnsi="Times"/>
                <w:szCs w:val="24"/>
                <w:lang w:eastAsia="ja-JP"/>
              </w:rPr>
              <w:t>.</w:t>
            </w:r>
          </w:p>
          <w:p w14:paraId="0072903D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ue-TA-Measurement-r18</w:t>
            </w:r>
          </w:p>
          <w:p w14:paraId="46143473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ltm-BeamIndicationJointTCI-r18</w:t>
            </w:r>
          </w:p>
          <w:p w14:paraId="102CF3C7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ltm-BeamIndicationSeparateTCI-r18</w:t>
            </w:r>
          </w:p>
          <w:p w14:paraId="2790C9A0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rach-EarlyTA-Measurement-r18</w:t>
            </w:r>
          </w:p>
          <w:p w14:paraId="7893B8AB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ltm-MAC-CE-JointTCI-r18</w:t>
            </w:r>
          </w:p>
          <w:p w14:paraId="56206524" w14:textId="77777777" w:rsidR="00E35C0C" w:rsidRPr="009B55FF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ltm-MAC-CE-SeparateTCI-r18</w:t>
            </w:r>
          </w:p>
          <w:p w14:paraId="63BA6611" w14:textId="6A959A61" w:rsidR="00B30679" w:rsidRPr="00E35C0C" w:rsidRDefault="00E35C0C" w:rsidP="00E35C0C">
            <w:pPr>
              <w:numPr>
                <w:ilvl w:val="0"/>
                <w:numId w:val="13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/>
                <w:szCs w:val="24"/>
                <w:lang w:eastAsia="ja-JP"/>
              </w:rPr>
              <w:t>ta-IndicationCellSwitch-r18</w:t>
            </w:r>
          </w:p>
        </w:tc>
      </w:tr>
    </w:tbl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924B2FE" w14:textId="0DDEF6D7" w:rsidR="00DB1C6F" w:rsidRDefault="00DB1C6F" w:rsidP="00DB1C6F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 w:rsidRPr="003C03E1">
        <w:rPr>
          <w:rFonts w:ascii="Arial" w:eastAsia="游明朝" w:hAnsi="Arial" w:cs="Arial"/>
          <w:bCs/>
          <w:iCs/>
          <w:lang w:val="en-US"/>
        </w:rPr>
        <w:t xml:space="preserve">RAN1 would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also </w:t>
      </w:r>
      <w:r w:rsidRPr="003C03E1">
        <w:rPr>
          <w:rFonts w:ascii="Arial" w:eastAsia="游明朝" w:hAnsi="Arial" w:cs="Arial"/>
          <w:bCs/>
          <w:iCs/>
          <w:lang w:val="en-US"/>
        </w:rPr>
        <w:t xml:space="preserve">like to thank RAN2 for the LS 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in </w:t>
      </w:r>
      <w:r w:rsidRPr="00D23903">
        <w:rPr>
          <w:rFonts w:ascii="Arial" w:eastAsia="游明朝" w:hAnsi="Arial" w:cs="Arial"/>
          <w:bCs/>
          <w:iCs/>
          <w:lang w:val="en-US"/>
        </w:rPr>
        <w:t>R1-2</w:t>
      </w:r>
      <w:r>
        <w:rPr>
          <w:rFonts w:ascii="Arial" w:eastAsia="游明朝" w:hAnsi="Arial" w:cs="Arial" w:hint="eastAsia"/>
          <w:bCs/>
          <w:iCs/>
          <w:lang w:val="en-US" w:eastAsia="ja-JP"/>
        </w:rPr>
        <w:t>50</w:t>
      </w:r>
      <w:r>
        <w:rPr>
          <w:rFonts w:ascii="Arial" w:eastAsia="游明朝" w:hAnsi="Arial" w:cs="Arial" w:hint="eastAsia"/>
          <w:bCs/>
          <w:iCs/>
          <w:lang w:val="en-US" w:eastAsia="ja-JP"/>
        </w:rPr>
        <w:t>1569</w:t>
      </w:r>
      <w:r w:rsidRPr="000D170A">
        <w:rPr>
          <w:rFonts w:ascii="Arial" w:eastAsia="游明朝" w:hAnsi="Arial" w:cs="Arial"/>
          <w:bCs/>
          <w:iCs/>
          <w:lang w:eastAsia="ja-JP"/>
        </w:rPr>
        <w:t>/</w:t>
      </w:r>
      <w:r w:rsidRPr="00FF130D">
        <w:rPr>
          <w:rFonts w:ascii="Arial" w:eastAsia="游明朝" w:hAnsi="Arial" w:cs="Arial"/>
          <w:bCs/>
          <w:iCs/>
          <w:lang w:eastAsia="ja-JP"/>
        </w:rPr>
        <w:t>R2-2</w:t>
      </w:r>
      <w:r>
        <w:rPr>
          <w:rFonts w:ascii="Arial" w:eastAsia="游明朝" w:hAnsi="Arial" w:cs="Arial" w:hint="eastAsia"/>
          <w:bCs/>
          <w:iCs/>
          <w:lang w:eastAsia="ja-JP"/>
        </w:rPr>
        <w:t>501516</w:t>
      </w:r>
      <w:r>
        <w:rPr>
          <w:rFonts w:ascii="Arial" w:eastAsia="游明朝" w:hAnsi="Arial" w:cs="Arial"/>
          <w:bCs/>
          <w:iCs/>
          <w:lang w:eastAsia="ja-JP"/>
        </w:rPr>
        <w:t xml:space="preserve">. RAN1 would like to inform RAN2 about the following </w:t>
      </w:r>
      <w:r>
        <w:rPr>
          <w:rFonts w:ascii="Arial" w:eastAsia="游明朝" w:hAnsi="Arial" w:cs="Arial" w:hint="eastAsia"/>
          <w:bCs/>
          <w:iCs/>
          <w:lang w:eastAsia="ja-JP"/>
        </w:rPr>
        <w:t>RAN1 agreement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B1C6F" w14:paraId="0233FFCE" w14:textId="77777777" w:rsidTr="00DB1C6F">
        <w:tc>
          <w:tcPr>
            <w:tcW w:w="9855" w:type="dxa"/>
          </w:tcPr>
          <w:p w14:paraId="6C46FC2B" w14:textId="77777777" w:rsidR="00DB1C6F" w:rsidRPr="00340133" w:rsidRDefault="00DB1C6F" w:rsidP="00DB1C6F">
            <w:pPr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</w:pPr>
            <w:r w:rsidRPr="00340133">
              <w:rPr>
                <w:rFonts w:ascii="Times" w:eastAsia="游明朝" w:hAnsi="Times" w:hint="eastAsia"/>
                <w:b/>
                <w:bCs/>
                <w:szCs w:val="24"/>
                <w:highlight w:val="green"/>
                <w:lang w:eastAsia="ja-JP"/>
              </w:rPr>
              <w:t>Agreement:</w:t>
            </w:r>
          </w:p>
          <w:p w14:paraId="7A44F009" w14:textId="77777777" w:rsidR="00DB1C6F" w:rsidRDefault="00DB1C6F" w:rsidP="00DB1C6F">
            <w:pPr>
              <w:rPr>
                <w:rFonts w:ascii="Times" w:eastAsia="游明朝" w:hAnsi="Times"/>
                <w:szCs w:val="24"/>
                <w:lang w:eastAsia="ja-JP"/>
              </w:rPr>
            </w:pPr>
            <w:r w:rsidRPr="009B55FF">
              <w:rPr>
                <w:rFonts w:ascii="Times" w:eastAsia="游明朝" w:hAnsi="Times" w:hint="eastAsia"/>
                <w:szCs w:val="24"/>
                <w:lang w:eastAsia="ja-JP"/>
              </w:rPr>
              <w:t xml:space="preserve">Reply to RAN2 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with following RAN1 answers</w:t>
            </w:r>
            <w:r w:rsidRPr="009B55FF">
              <w:rPr>
                <w:rFonts w:ascii="Times" w:eastAsia="游明朝" w:hAnsi="Times"/>
                <w:szCs w:val="24"/>
                <w:lang w:eastAsia="ja-JP"/>
              </w:rPr>
              <w:t>.</w:t>
            </w:r>
          </w:p>
          <w:p w14:paraId="41B97132" w14:textId="77777777" w:rsidR="00DB1C6F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Answer to Q1: No, the FGs are only applicable to FR2. RAN1 has not agreed to support </w:t>
            </w:r>
            <w:r w:rsidRPr="005127C0">
              <w:rPr>
                <w:rFonts w:ascii="Times" w:eastAsia="游明朝" w:hAnsi="Times"/>
                <w:szCs w:val="24"/>
                <w:lang w:eastAsia="ja-JP"/>
              </w:rPr>
              <w:t xml:space="preserve">cross-carrier scheduling of 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MDCI based </w:t>
            </w:r>
            <w:proofErr w:type="spellStart"/>
            <w:r w:rsidRPr="005127C0">
              <w:rPr>
                <w:rFonts w:ascii="Times" w:eastAsia="游明朝" w:hAnsi="Times"/>
                <w:szCs w:val="24"/>
                <w:lang w:eastAsia="ja-JP"/>
              </w:rPr>
              <w:t>STxMP</w:t>
            </w:r>
            <w:proofErr w:type="spellEnd"/>
            <w:r w:rsidRPr="005127C0">
              <w:rPr>
                <w:rFonts w:ascii="Times" w:eastAsia="游明朝" w:hAnsi="Times"/>
                <w:szCs w:val="24"/>
                <w:lang w:eastAsia="ja-JP"/>
              </w:rPr>
              <w:t xml:space="preserve"> PUSCH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.</w:t>
            </w:r>
          </w:p>
          <w:p w14:paraId="0238629C" w14:textId="77777777" w:rsidR="00DB1C6F" w:rsidRPr="001F0FE1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Answer to Q2: </w:t>
            </w:r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 xml:space="preserve">the capability value does not need to be reported for each of FR2 SCS </w:t>
            </w:r>
            <w:proofErr w:type="gramStart"/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>in a given</w:t>
            </w:r>
            <w:proofErr w:type="gramEnd"/>
            <w:r w:rsidRPr="001F0FE1">
              <w:rPr>
                <w:rFonts w:ascii="Times" w:eastAsia="游明朝" w:hAnsi="Times" w:hint="eastAsia"/>
                <w:szCs w:val="24"/>
                <w:lang w:eastAsia="ja-JP"/>
              </w:rPr>
              <w:t xml:space="preserve"> CC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 xml:space="preserve">. </w:t>
            </w:r>
            <w:r w:rsidRPr="001F0FE1">
              <w:rPr>
                <w:rFonts w:ascii="Times" w:eastAsia="游明朝" w:hAnsi="Times"/>
                <w:szCs w:val="24"/>
                <w:lang w:eastAsia="ja-JP"/>
              </w:rPr>
              <w:t>UE reports candidate value for the applicable SCS in unit of symbols</w:t>
            </w:r>
            <w:r>
              <w:rPr>
                <w:rFonts w:ascii="Times" w:eastAsia="游明朝" w:hAnsi="Times" w:hint="eastAsia"/>
                <w:szCs w:val="24"/>
                <w:lang w:eastAsia="ja-JP"/>
              </w:rPr>
              <w:t>.</w:t>
            </w:r>
          </w:p>
          <w:p w14:paraId="482BAD2C" w14:textId="77777777" w:rsidR="00DB1C6F" w:rsidRPr="00A758E4" w:rsidRDefault="00DB1C6F" w:rsidP="00DB1C6F">
            <w:pPr>
              <w:numPr>
                <w:ilvl w:val="0"/>
                <w:numId w:val="15"/>
              </w:numPr>
              <w:spacing w:before="60" w:after="120" w:line="256" w:lineRule="auto"/>
              <w:jc w:val="both"/>
              <w:rPr>
                <w:rFonts w:ascii="Times" w:eastAsia="游明朝" w:hAnsi="Times" w:hint="eastAsia"/>
                <w:szCs w:val="24"/>
                <w:lang w:eastAsia="ja-JP"/>
              </w:rPr>
            </w:pPr>
            <w:r>
              <w:rPr>
                <w:rFonts w:ascii="Times" w:eastAsia="游明朝" w:hAnsi="Times" w:hint="eastAsia"/>
                <w:szCs w:val="24"/>
                <w:lang w:eastAsia="ja-JP"/>
              </w:rPr>
              <w:t>Consequently, the FGs are updated as below.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3"/>
              <w:gridCol w:w="3945"/>
              <w:gridCol w:w="697"/>
              <w:gridCol w:w="627"/>
              <w:gridCol w:w="3747"/>
            </w:tblGrid>
            <w:tr w:rsidR="00DB1C6F" w14:paraId="07C40826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F5B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lastRenderedPageBreak/>
                    <w:t>40-6-3a-1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2790D2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1. Require additional timeline to process multiple TBs for codebook multi-DCI based STx2P PUSCH+PUSCH for DG+DG</w:t>
                  </w:r>
                </w:p>
                <w:p w14:paraId="08F9B802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14D25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D6DEA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A286E3B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6C19A4C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>
                    <w:rPr>
                      <w:rFonts w:eastAsia="游明朝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2ED41E5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1A9DEA85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373AB92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62DDAF8F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DA4E91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6A8F505A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170A78AB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  <w:tr w:rsidR="00DB1C6F" w14:paraId="546AEB33" w14:textId="77777777" w:rsidTr="00E5485C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794CF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40-6-3b-2</w:t>
                  </w:r>
                </w:p>
              </w:tc>
              <w:tc>
                <w:tcPr>
                  <w:tcW w:w="3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1558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 xml:space="preserve">1. Require additional timeline to process multiple TBs for </w:t>
                  </w:r>
                  <w:r>
                    <w:rPr>
                      <w:rFonts w:eastAsia="Malgun Gothic" w:cs="Arial" w:hint="eastAsia"/>
                      <w:color w:val="000000"/>
                      <w:sz w:val="16"/>
                      <w:szCs w:val="16"/>
                      <w:lang w:eastAsia="ko-KR"/>
                    </w:rPr>
                    <w:t>non-</w:t>
                  </w: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codebook multi-DCI based STx2P PUSCH+PUSCH for DG+DG</w:t>
                  </w:r>
                </w:p>
                <w:p w14:paraId="50BEBAD7" w14:textId="77777777" w:rsidR="00DB1C6F" w:rsidRDefault="00DB1C6F" w:rsidP="00DB1C6F">
                  <w:pPr>
                    <w:snapToGrid w:val="0"/>
                    <w:spacing w:afterLines="50" w:after="120"/>
                    <w:contextualSpacing/>
                    <w:textAlignment w:val="baseline"/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eastAsia="Malgun Gothic" w:cs="Arial"/>
                      <w:color w:val="000000"/>
                      <w:sz w:val="16"/>
                      <w:szCs w:val="16"/>
                      <w:lang w:eastAsia="ko-KR"/>
                    </w:rPr>
                    <w:t>Note. This FG can be applied for CG+DG also if UE can support those FG.</w:t>
                  </w:r>
                </w:p>
              </w:tc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12BD4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Per FSPC</w:t>
                  </w:r>
                </w:p>
              </w:tc>
              <w:tc>
                <w:tcPr>
                  <w:tcW w:w="6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F3E0E0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eastAsia="ＭＳ 明朝"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eastAsia="ＭＳ 明朝" w:cs="Arial" w:hint="eastAsia"/>
                      <w:color w:val="000000"/>
                      <w:sz w:val="16"/>
                      <w:szCs w:val="16"/>
                      <w:lang w:eastAsia="en-GB"/>
                    </w:rPr>
                    <w:t>FR2 only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C06BEEE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candidate values: </w:t>
                  </w:r>
                </w:p>
                <w:p w14:paraId="79D763D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UE reports candidate value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independently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for </w:t>
                  </w:r>
                  <w:r w:rsidRPr="001F0FE1">
                    <w:rPr>
                      <w:rFonts w:eastAsia="游明朝" w:cs="Arial" w:hint="eastAsia"/>
                      <w:color w:val="FF0000"/>
                      <w:sz w:val="16"/>
                      <w:szCs w:val="16"/>
                      <w:lang w:eastAsia="ja-JP"/>
                    </w:rPr>
                    <w:t xml:space="preserve">the applicable </w:t>
                  </w: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 xml:space="preserve">each </w:t>
                  </w: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 xml:space="preserve">SCS in unit of symbols </w:t>
                  </w:r>
                </w:p>
                <w:p w14:paraId="571EDFFD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15kHz SCS: {1,2,4}</w:t>
                  </w:r>
                </w:p>
                <w:p w14:paraId="5683CA7F" w14:textId="77777777" w:rsidR="00DB1C6F" w:rsidRPr="00E75A15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E75A15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For 30kHz SCS: {1,2,4,8}</w:t>
                  </w:r>
                </w:p>
                <w:p w14:paraId="18FC3EF5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60kHz SCS: {2,4,8,16}</w:t>
                  </w:r>
                </w:p>
                <w:p w14:paraId="20080829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120kHz SCS: {4,8,16,32}</w:t>
                  </w:r>
                </w:p>
                <w:p w14:paraId="6F2DC77C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480kHz SCS: {16,32,64,128}</w:t>
                  </w:r>
                </w:p>
                <w:p w14:paraId="4A4AE1E6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  <w:t>For 960kHz SCS: {32,64,128,256}</w:t>
                  </w:r>
                </w:p>
                <w:p w14:paraId="35C90627" w14:textId="77777777" w:rsidR="00DB1C6F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color w:val="000000"/>
                      <w:sz w:val="16"/>
                      <w:szCs w:val="16"/>
                      <w:lang w:eastAsia="en-GB"/>
                    </w:rPr>
                  </w:pPr>
                </w:p>
                <w:p w14:paraId="7BFDD896" w14:textId="77777777" w:rsidR="00DB1C6F" w:rsidRPr="001F0FE1" w:rsidRDefault="00DB1C6F" w:rsidP="00DB1C6F">
                  <w:pPr>
                    <w:keepNext/>
                    <w:keepLines/>
                    <w:textAlignment w:val="baseline"/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</w:pPr>
                  <w:r w:rsidRPr="001F0FE1">
                    <w:rPr>
                      <w:rFonts w:cs="Arial"/>
                      <w:strike/>
                      <w:color w:val="FF0000"/>
                      <w:sz w:val="16"/>
                      <w:szCs w:val="16"/>
                      <w:lang w:eastAsia="en-GB"/>
                    </w:rPr>
                    <w:t>Note: SCS above is the minimum between SCS of the scheduling DCI and SCS of the scheduled PUSCH.</w:t>
                  </w:r>
                </w:p>
              </w:tc>
            </w:tr>
          </w:tbl>
          <w:p w14:paraId="63E5CE9B" w14:textId="77777777" w:rsidR="00DB1C6F" w:rsidRPr="00DB1C6F" w:rsidRDefault="00DB1C6F" w:rsidP="000D170A">
            <w:pPr>
              <w:spacing w:afterLines="50" w:after="120"/>
              <w:jc w:val="both"/>
              <w:rPr>
                <w:rFonts w:ascii="Arial" w:eastAsia="游明朝" w:hAnsi="Arial" w:cs="Arial"/>
                <w:bCs/>
                <w:iCs/>
                <w:lang w:eastAsia="ja-JP"/>
              </w:rPr>
            </w:pPr>
          </w:p>
        </w:tc>
      </w:tr>
    </w:tbl>
    <w:p w14:paraId="5B80CA8E" w14:textId="77777777" w:rsidR="00DB1C6F" w:rsidRPr="00DB1C6F" w:rsidRDefault="00DB1C6F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E004CB" w14:textId="77777777" w:rsidR="00DB1C6F" w:rsidRDefault="00DB1C6F" w:rsidP="000D170A">
      <w:pPr>
        <w:spacing w:afterLines="50" w:after="120"/>
        <w:jc w:val="both"/>
        <w:rPr>
          <w:rFonts w:ascii="Arial" w:eastAsia="游明朝" w:hAnsi="Arial" w:cs="Arial" w:hint="eastAsia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5C7D5B5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A45384" w14:textId="511EFBDD" w:rsidR="000345B4" w:rsidRDefault="000345B4" w:rsidP="000345B4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20bis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7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11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 w:rsidR="00E35C0C">
        <w:rPr>
          <w:rFonts w:ascii="Arial" w:eastAsia="ＭＳ 明朝" w:hAnsi="Arial" w:cs="Arial" w:hint="eastAsia"/>
          <w:bCs/>
          <w:lang w:eastAsia="ja-JP"/>
        </w:rPr>
        <w:t>TBD</w:t>
      </w:r>
      <w:r>
        <w:rPr>
          <w:rFonts w:ascii="Arial" w:eastAsia="ＭＳ 明朝" w:hAnsi="Arial" w:cs="Arial" w:hint="eastAsia"/>
          <w:bCs/>
          <w:lang w:eastAsia="ja-JP"/>
        </w:rPr>
        <w:t>, China</w:t>
      </w:r>
    </w:p>
    <w:p w14:paraId="556F586A" w14:textId="754F9B2C" w:rsidR="00E35C0C" w:rsidRDefault="00E35C0C" w:rsidP="00E35C0C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1</w:t>
      </w:r>
      <w:r>
        <w:rPr>
          <w:rFonts w:ascii="Arial" w:eastAsia="ＭＳ 明朝" w:hAnsi="Arial" w:cs="Arial" w:hint="eastAsia"/>
          <w:bCs/>
          <w:lang w:eastAsia="ja-JP"/>
        </w:rPr>
        <w:t>9</w:t>
      </w:r>
      <w:r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 w:hint="eastAsia"/>
          <w:bCs/>
          <w:lang w:eastAsia="ja-JP"/>
        </w:rPr>
        <w:t>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Pr="00E35C0C">
        <w:rPr>
          <w:rFonts w:ascii="Arial" w:eastAsia="ＭＳ 明朝" w:hAnsi="Arial" w:cs="Arial"/>
          <w:bCs/>
        </w:rPr>
        <w:t>St Julian, Malta</w:t>
      </w:r>
    </w:p>
    <w:p w14:paraId="1296851C" w14:textId="77777777" w:rsidR="00943D26" w:rsidRPr="00E35C0C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E35C0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12311" w14:textId="77777777" w:rsidR="008A01BF" w:rsidRDefault="008A01BF">
      <w:r>
        <w:separator/>
      </w:r>
    </w:p>
  </w:endnote>
  <w:endnote w:type="continuationSeparator" w:id="0">
    <w:p w14:paraId="4EC2651F" w14:textId="77777777" w:rsidR="008A01BF" w:rsidRDefault="008A0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CE8A3" w14:textId="77777777" w:rsidR="008A01BF" w:rsidRDefault="008A01BF">
      <w:r>
        <w:separator/>
      </w:r>
    </w:p>
  </w:footnote>
  <w:footnote w:type="continuationSeparator" w:id="0">
    <w:p w14:paraId="3FD4E953" w14:textId="77777777" w:rsidR="008A01BF" w:rsidRDefault="008A0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077F6"/>
    <w:multiLevelType w:val="hybridMultilevel"/>
    <w:tmpl w:val="D8B8A0A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F5418"/>
    <w:multiLevelType w:val="multilevel"/>
    <w:tmpl w:val="516F5418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1"/>
  </w:num>
  <w:num w:numId="2" w16cid:durableId="283849613">
    <w:abstractNumId w:val="7"/>
  </w:num>
  <w:num w:numId="3" w16cid:durableId="1067722107">
    <w:abstractNumId w:val="5"/>
  </w:num>
  <w:num w:numId="4" w16cid:durableId="1931503730">
    <w:abstractNumId w:val="2"/>
  </w:num>
  <w:num w:numId="5" w16cid:durableId="1086997101">
    <w:abstractNumId w:val="3"/>
  </w:num>
  <w:num w:numId="6" w16cid:durableId="1160393160">
    <w:abstractNumId w:val="4"/>
  </w:num>
  <w:num w:numId="7" w16cid:durableId="687103955">
    <w:abstractNumId w:val="8"/>
  </w:num>
  <w:num w:numId="8" w16cid:durableId="1920553953">
    <w:abstractNumId w:val="14"/>
  </w:num>
  <w:num w:numId="9" w16cid:durableId="1642031821">
    <w:abstractNumId w:val="12"/>
  </w:num>
  <w:num w:numId="10" w16cid:durableId="71120909">
    <w:abstractNumId w:val="10"/>
  </w:num>
  <w:num w:numId="11" w16cid:durableId="744841997">
    <w:abstractNumId w:val="6"/>
  </w:num>
  <w:num w:numId="12" w16cid:durableId="1330870979">
    <w:abstractNumId w:val="0"/>
  </w:num>
  <w:num w:numId="13" w16cid:durableId="1276255120">
    <w:abstractNumId w:val="13"/>
  </w:num>
  <w:num w:numId="14" w16cid:durableId="168525097">
    <w:abstractNumId w:val="9"/>
  </w:num>
  <w:num w:numId="15" w16cid:durableId="753556318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21A6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1DFB"/>
    <w:rsid w:val="00532055"/>
    <w:rsid w:val="00533F8A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B2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916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BF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1C6F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C0C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2986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2025-02-21T11:25:00Z</dcterms:created>
  <dcterms:modified xsi:type="dcterms:W3CDTF">2025-02-21T11:25:00Z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